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A19AC" w14:textId="77777777" w:rsidR="00FC0386" w:rsidRPr="006E640E" w:rsidRDefault="00FC0386" w:rsidP="00FC0386">
      <w:pPr>
        <w:jc w:val="center"/>
        <w:rPr>
          <w:rFonts w:ascii="Arial Narrow" w:hAnsi="Arial Narrow"/>
          <w:b/>
          <w:bCs/>
        </w:rPr>
      </w:pPr>
      <w:r w:rsidRPr="006E640E">
        <w:rPr>
          <w:rFonts w:ascii="Arial Narrow" w:hAnsi="Arial Narrow"/>
          <w:b/>
          <w:bCs/>
        </w:rPr>
        <w:t>DIRECCIÓN DE SEGURIDAD PÚBLICA</w:t>
      </w:r>
    </w:p>
    <w:p w14:paraId="6916DC65" w14:textId="77777777" w:rsidR="006E640E" w:rsidRPr="006E640E" w:rsidRDefault="006E640E" w:rsidP="006E640E">
      <w:pPr>
        <w:jc w:val="center"/>
        <w:rPr>
          <w:rFonts w:ascii="Arial Narrow" w:hAnsi="Arial Narrow" w:cs="Arial"/>
          <w:b/>
          <w:bCs/>
        </w:rPr>
      </w:pPr>
      <w:r w:rsidRPr="006E640E">
        <w:rPr>
          <w:rFonts w:ascii="Arial Narrow" w:hAnsi="Arial Narrow" w:cs="Arial"/>
          <w:b/>
          <w:bCs/>
        </w:rPr>
        <w:t>RESULTADOS ESTRATÉGICOS Y MISIONALES</w:t>
      </w:r>
    </w:p>
    <w:p w14:paraId="2D120109" w14:textId="77777777" w:rsidR="006E640E" w:rsidRPr="006E640E" w:rsidRDefault="006E640E" w:rsidP="006E640E">
      <w:pPr>
        <w:jc w:val="center"/>
        <w:rPr>
          <w:rFonts w:ascii="Arial Narrow" w:hAnsi="Arial Narrow" w:cs="Arial"/>
          <w:b/>
          <w:bCs/>
        </w:rPr>
      </w:pPr>
    </w:p>
    <w:p w14:paraId="26BE7EA7" w14:textId="77777777" w:rsidR="006E640E" w:rsidRPr="006E640E" w:rsidRDefault="006E640E" w:rsidP="006E640E">
      <w:pPr>
        <w:jc w:val="center"/>
        <w:rPr>
          <w:rFonts w:ascii="Arial Narrow" w:hAnsi="Arial Narrow" w:cs="Arial"/>
          <w:b/>
          <w:bCs/>
          <w:i/>
          <w:iCs/>
          <w:u w:val="single"/>
        </w:rPr>
      </w:pPr>
      <w:r w:rsidRPr="006E640E">
        <w:rPr>
          <w:rFonts w:ascii="Arial Narrow" w:hAnsi="Arial Narrow" w:cs="Arial"/>
          <w:b/>
          <w:bCs/>
          <w:i/>
          <w:iCs/>
          <w:u w:val="single"/>
        </w:rPr>
        <w:t>Logros y cumplimiento de metas en los Objetivos estratégicos de la Unidad de Gestión General</w:t>
      </w:r>
    </w:p>
    <w:p w14:paraId="5C001009" w14:textId="77777777" w:rsidR="006E640E" w:rsidRPr="006E640E" w:rsidRDefault="006E640E" w:rsidP="00FC0386">
      <w:pPr>
        <w:jc w:val="center"/>
        <w:rPr>
          <w:rFonts w:ascii="Arial Narrow" w:hAnsi="Arial Narrow"/>
          <w:b/>
          <w:bCs/>
        </w:rPr>
      </w:pPr>
    </w:p>
    <w:p w14:paraId="459E356E" w14:textId="76DDFC7A" w:rsidR="006E640E" w:rsidRPr="001715BD" w:rsidRDefault="006E640E" w:rsidP="006E640E">
      <w:pPr>
        <w:pStyle w:val="Prrafodelista"/>
        <w:numPr>
          <w:ilvl w:val="0"/>
          <w:numId w:val="11"/>
        </w:numPr>
        <w:rPr>
          <w:rFonts w:ascii="Arial Narrow" w:hAnsi="Arial Narrow" w:cs="Arial"/>
          <w:b/>
          <w:bCs/>
          <w:i/>
          <w:iCs/>
          <w:u w:val="single"/>
        </w:rPr>
      </w:pPr>
      <w:r w:rsidRPr="001715BD">
        <w:rPr>
          <w:rFonts w:ascii="Arial Narrow" w:hAnsi="Arial Narrow" w:cs="Arial"/>
          <w:b/>
          <w:bCs/>
          <w:i/>
          <w:iCs/>
          <w:u w:val="single"/>
        </w:rPr>
        <w:t>Proveer condiciones de seguridad y protección para la vida, la integridad personal y el patrimonio, con especial énfasis en los territorios bajo disputa de los grupos armados organizados y grupos delictivos organizados</w:t>
      </w:r>
      <w:r w:rsidR="001715BD">
        <w:rPr>
          <w:rFonts w:ascii="Arial Narrow" w:hAnsi="Arial Narrow" w:cs="Arial"/>
          <w:b/>
          <w:bCs/>
          <w:i/>
          <w:iCs/>
          <w:u w:val="single"/>
        </w:rPr>
        <w:t xml:space="preserve"> (PES)</w:t>
      </w:r>
    </w:p>
    <w:p w14:paraId="45937938" w14:textId="77777777" w:rsidR="006E640E" w:rsidRPr="006E640E" w:rsidRDefault="006E640E" w:rsidP="00FC0386">
      <w:pPr>
        <w:jc w:val="center"/>
        <w:rPr>
          <w:rFonts w:ascii="Arial Narrow" w:hAnsi="Arial Narrow"/>
          <w:b/>
          <w:bCs/>
        </w:rPr>
      </w:pPr>
    </w:p>
    <w:p w14:paraId="73D97BA0" w14:textId="08E55964" w:rsidR="00BE04AB" w:rsidRDefault="00BE04AB" w:rsidP="00BE04AB">
      <w:pPr>
        <w:jc w:val="both"/>
        <w:rPr>
          <w:rFonts w:ascii="Arial Narrow" w:hAnsi="Arial Narrow"/>
          <w:b/>
          <w:bCs/>
          <w:color w:val="156082" w:themeColor="accent1"/>
        </w:rPr>
      </w:pPr>
      <w:r w:rsidRPr="00BE04AB">
        <w:rPr>
          <w:rFonts w:ascii="Arial Narrow" w:hAnsi="Arial Narrow"/>
          <w:b/>
          <w:bCs/>
          <w:color w:val="156082" w:themeColor="accent1"/>
        </w:rPr>
        <w:t>Fortalecimiento de la presencia integral del Estado mediante la Acción Unificada</w:t>
      </w:r>
    </w:p>
    <w:p w14:paraId="471B9793" w14:textId="77777777" w:rsidR="00BE04AB" w:rsidRPr="00BE04AB" w:rsidRDefault="00BE04AB" w:rsidP="00BE04AB">
      <w:pPr>
        <w:jc w:val="both"/>
        <w:rPr>
          <w:rFonts w:ascii="Arial Narrow" w:hAnsi="Arial Narrow"/>
          <w:b/>
          <w:bCs/>
          <w:color w:val="156082" w:themeColor="accent1"/>
        </w:rPr>
      </w:pPr>
    </w:p>
    <w:p w14:paraId="7968AA73" w14:textId="77777777" w:rsidR="00BE04AB" w:rsidRDefault="00BE04AB" w:rsidP="00BE04AB">
      <w:pPr>
        <w:jc w:val="both"/>
        <w:rPr>
          <w:rFonts w:ascii="Arial Narrow" w:hAnsi="Arial Narrow"/>
        </w:rPr>
      </w:pPr>
      <w:r w:rsidRPr="00BE04AB">
        <w:rPr>
          <w:rFonts w:ascii="Arial Narrow" w:hAnsi="Arial Narrow"/>
        </w:rPr>
        <w:t>En el marco del Plan Estratégico Sectorial y bajo los principios de Seguridad Humana, presencia integral del Estado y transformación territorial, la Acción Unificada se consolidó como un mecanismo estratégico para articular las capacidades del Sector Defensa con las entidades del orden nacional y territorial, la cooperación internacional, el sector privado y las comunidades, orientando esfuerzos hacia la atención integral de territorios afectados por dinámicas de conflictividad, economías ilícitas, debilidad institucional y vulnerabilidad social.</w:t>
      </w:r>
    </w:p>
    <w:p w14:paraId="01B697E8" w14:textId="77777777" w:rsidR="00BE04AB" w:rsidRPr="00BE04AB" w:rsidRDefault="00BE04AB" w:rsidP="00BE04AB">
      <w:pPr>
        <w:jc w:val="both"/>
        <w:rPr>
          <w:rFonts w:ascii="Arial Narrow" w:hAnsi="Arial Narrow"/>
        </w:rPr>
      </w:pPr>
    </w:p>
    <w:p w14:paraId="3F5FEB66" w14:textId="77777777" w:rsidR="00BE04AB" w:rsidRDefault="00BE04AB" w:rsidP="00BE04AB">
      <w:pPr>
        <w:jc w:val="both"/>
        <w:rPr>
          <w:rFonts w:ascii="Arial Narrow" w:hAnsi="Arial Narrow"/>
        </w:rPr>
      </w:pPr>
      <w:r w:rsidRPr="00BE04AB">
        <w:rPr>
          <w:rFonts w:ascii="Arial Narrow" w:hAnsi="Arial Narrow"/>
        </w:rPr>
        <w:t>Este enfoque permitió complementar el esfuerzo operacional de las Fuerzas Militares y la Policía Nacional mediante acciones no armadas dirigidas al fortalecimiento comunitario, el desarrollo territorial, la generación de oportunidades económicas, la protección de poblaciones vulnerables, la asistencia humanitaria y la articulación interinstitucional, contribuyendo a la mitigación de factores de riesgo que favorecen la influencia de estructuras criminales y actores armados ilegales sobre las comunidades.</w:t>
      </w:r>
    </w:p>
    <w:p w14:paraId="52C4D25C" w14:textId="77777777" w:rsidR="00BE04AB" w:rsidRPr="00BE04AB" w:rsidRDefault="00BE04AB" w:rsidP="00BE04AB">
      <w:pPr>
        <w:jc w:val="both"/>
        <w:rPr>
          <w:rFonts w:ascii="Arial Narrow" w:hAnsi="Arial Narrow"/>
        </w:rPr>
      </w:pPr>
    </w:p>
    <w:p w14:paraId="5DD67800" w14:textId="77777777" w:rsidR="00BE04AB" w:rsidRDefault="00BE04AB" w:rsidP="00BE04AB">
      <w:pPr>
        <w:jc w:val="both"/>
        <w:rPr>
          <w:rFonts w:ascii="Arial Narrow" w:hAnsi="Arial Narrow"/>
        </w:rPr>
      </w:pPr>
      <w:r w:rsidRPr="00BE04AB">
        <w:rPr>
          <w:rFonts w:ascii="Arial Narrow" w:hAnsi="Arial Narrow"/>
        </w:rPr>
        <w:t>Como resultado de esta estrategia, las Fuerzas Militares reportaron la ejecución de 392 jornadas de apoyo al desarrollo, 95 proyectos productivos, 115 proyectos de infraestructura, 528 proyectos ambientales, 62 ruedas de emprendimiento, 138 actividades dirigidas a comunidades étnicas y 36 iniciativas de asistencia humanitaria apoyadas mediante cooperación internacional, consolidando una intervención integral orientada a fortalecer la gobernabilidad territorial y ampliar la presencia efectiva del Estado en zonas priorizadas.</w:t>
      </w:r>
    </w:p>
    <w:p w14:paraId="655D28E9" w14:textId="77777777" w:rsidR="00BE04AB" w:rsidRPr="00BE04AB" w:rsidRDefault="00BE04AB" w:rsidP="00BE04AB">
      <w:pPr>
        <w:jc w:val="both"/>
        <w:rPr>
          <w:rFonts w:ascii="Arial Narrow" w:hAnsi="Arial Narrow"/>
        </w:rPr>
      </w:pPr>
    </w:p>
    <w:p w14:paraId="07C690F0" w14:textId="77777777" w:rsidR="00BE04AB" w:rsidRDefault="00BE04AB" w:rsidP="00BE04AB">
      <w:pPr>
        <w:jc w:val="both"/>
        <w:rPr>
          <w:rFonts w:ascii="Arial Narrow" w:hAnsi="Arial Narrow"/>
        </w:rPr>
      </w:pPr>
      <w:r w:rsidRPr="00BE04AB">
        <w:rPr>
          <w:rFonts w:ascii="Arial Narrow" w:hAnsi="Arial Narrow"/>
        </w:rPr>
        <w:t>Estas acciones permitieron generar impactos significativos en distintos ámbitos del desarrollo territorial y la Seguridad Humana, destacándose:</w:t>
      </w:r>
    </w:p>
    <w:p w14:paraId="494C0B0D" w14:textId="77777777" w:rsidR="00BE04AB" w:rsidRPr="00BE04AB" w:rsidRDefault="00BE04AB" w:rsidP="00BE04AB">
      <w:pPr>
        <w:jc w:val="both"/>
        <w:rPr>
          <w:rFonts w:ascii="Arial Narrow" w:hAnsi="Arial Narrow"/>
        </w:rPr>
      </w:pPr>
    </w:p>
    <w:p w14:paraId="67B3011B" w14:textId="77777777" w:rsidR="00BE04AB" w:rsidRPr="00BE04AB" w:rsidRDefault="00BE04AB" w:rsidP="00BE04AB">
      <w:pPr>
        <w:numPr>
          <w:ilvl w:val="0"/>
          <w:numId w:val="13"/>
        </w:numPr>
        <w:jc w:val="both"/>
        <w:rPr>
          <w:rFonts w:ascii="Arial Narrow" w:hAnsi="Arial Narrow"/>
        </w:rPr>
      </w:pPr>
      <w:r w:rsidRPr="00BE04AB">
        <w:rPr>
          <w:rFonts w:ascii="Arial Narrow" w:hAnsi="Arial Narrow"/>
          <w:b/>
          <w:bCs/>
        </w:rPr>
        <w:t>Salud y bienestar comunitario:</w:t>
      </w:r>
      <w:r w:rsidRPr="00BE04AB">
        <w:rPr>
          <w:rFonts w:ascii="Arial Narrow" w:hAnsi="Arial Narrow"/>
        </w:rPr>
        <w:t xml:space="preserve"> mediante jornadas de atención médica, odontológica y oftalmológica desarrolladas en zonas rurales y de difícil acceso. </w:t>
      </w:r>
    </w:p>
    <w:p w14:paraId="593E524E" w14:textId="77777777" w:rsidR="00BE04AB" w:rsidRPr="00BE04AB" w:rsidRDefault="00BE04AB" w:rsidP="00BE04AB">
      <w:pPr>
        <w:numPr>
          <w:ilvl w:val="0"/>
          <w:numId w:val="13"/>
        </w:numPr>
        <w:jc w:val="both"/>
        <w:rPr>
          <w:rFonts w:ascii="Arial Narrow" w:hAnsi="Arial Narrow"/>
        </w:rPr>
      </w:pPr>
      <w:r w:rsidRPr="00BE04AB">
        <w:rPr>
          <w:rFonts w:ascii="Arial Narrow" w:hAnsi="Arial Narrow"/>
          <w:b/>
          <w:bCs/>
        </w:rPr>
        <w:t>Asistencia social y humanitaria:</w:t>
      </w:r>
      <w:r w:rsidRPr="00BE04AB">
        <w:rPr>
          <w:rFonts w:ascii="Arial Narrow" w:hAnsi="Arial Narrow"/>
        </w:rPr>
        <w:t xml:space="preserve"> a través de la entrega de ayudas humanitarias y el acompañamiento a poblaciones en condición de vulnerabilidad, incluyendo niños, niñas, adolescentes y adultos mayores. </w:t>
      </w:r>
    </w:p>
    <w:p w14:paraId="46E870F3" w14:textId="77777777" w:rsidR="00BE04AB" w:rsidRPr="00BE04AB" w:rsidRDefault="00BE04AB" w:rsidP="00BE04AB">
      <w:pPr>
        <w:numPr>
          <w:ilvl w:val="0"/>
          <w:numId w:val="13"/>
        </w:numPr>
        <w:jc w:val="both"/>
        <w:rPr>
          <w:rFonts w:ascii="Arial Narrow" w:hAnsi="Arial Narrow"/>
        </w:rPr>
      </w:pPr>
      <w:r w:rsidRPr="00BE04AB">
        <w:rPr>
          <w:rFonts w:ascii="Arial Narrow" w:hAnsi="Arial Narrow"/>
          <w:b/>
          <w:bCs/>
        </w:rPr>
        <w:t>Desarrollo económico local:</w:t>
      </w:r>
      <w:r w:rsidRPr="00BE04AB">
        <w:rPr>
          <w:rFonts w:ascii="Arial Narrow" w:hAnsi="Arial Narrow"/>
        </w:rPr>
        <w:t xml:space="preserve"> mediante proyectos productivos, ruedas de emprendimiento e iniciativas de fortalecimiento económico orientadas a la generación de ingresos y el fortalecimiento de capacidades comunitarias. </w:t>
      </w:r>
    </w:p>
    <w:p w14:paraId="5E41E25B" w14:textId="77777777" w:rsidR="00BE04AB" w:rsidRPr="00BE04AB" w:rsidRDefault="00BE04AB" w:rsidP="00BE04AB">
      <w:pPr>
        <w:numPr>
          <w:ilvl w:val="0"/>
          <w:numId w:val="13"/>
        </w:numPr>
        <w:jc w:val="both"/>
        <w:rPr>
          <w:rFonts w:ascii="Arial Narrow" w:hAnsi="Arial Narrow"/>
        </w:rPr>
      </w:pPr>
      <w:r w:rsidRPr="00BE04AB">
        <w:rPr>
          <w:rFonts w:ascii="Arial Narrow" w:hAnsi="Arial Narrow"/>
          <w:b/>
          <w:bCs/>
        </w:rPr>
        <w:t>Protección ambiental y sostenibilidad territorial:</w:t>
      </w:r>
      <w:r w:rsidRPr="00BE04AB">
        <w:rPr>
          <w:rFonts w:ascii="Arial Narrow" w:hAnsi="Arial Narrow"/>
        </w:rPr>
        <w:t xml:space="preserve"> mediante proyectos ambientales dirigidos a la conservación de ecosistemas estratégicos y la promoción de prácticas sostenibles. </w:t>
      </w:r>
    </w:p>
    <w:p w14:paraId="2095B339" w14:textId="77777777" w:rsidR="00BE04AB" w:rsidRDefault="00BE04AB" w:rsidP="00BE04AB">
      <w:pPr>
        <w:numPr>
          <w:ilvl w:val="0"/>
          <w:numId w:val="13"/>
        </w:numPr>
        <w:jc w:val="both"/>
        <w:rPr>
          <w:rFonts w:ascii="Arial Narrow" w:hAnsi="Arial Narrow"/>
        </w:rPr>
      </w:pPr>
      <w:r w:rsidRPr="00BE04AB">
        <w:rPr>
          <w:rFonts w:ascii="Arial Narrow" w:hAnsi="Arial Narrow"/>
          <w:b/>
          <w:bCs/>
        </w:rPr>
        <w:lastRenderedPageBreak/>
        <w:t>Fortalecimiento de la legitimidad institucional:</w:t>
      </w:r>
      <w:r w:rsidRPr="00BE04AB">
        <w:rPr>
          <w:rFonts w:ascii="Arial Narrow" w:hAnsi="Arial Narrow"/>
        </w:rPr>
        <w:t xml:space="preserve"> a través de campañas pedagógicas, espacios de participación comunitaria y estrategias de comunicación que fortalecieron la relación entre ciudadanía e institucionalidad. </w:t>
      </w:r>
    </w:p>
    <w:p w14:paraId="0983EF22" w14:textId="77777777" w:rsidR="00BE04AB" w:rsidRPr="00BE04AB" w:rsidRDefault="00BE04AB" w:rsidP="00BE04AB">
      <w:pPr>
        <w:ind w:left="720"/>
        <w:jc w:val="both"/>
        <w:rPr>
          <w:rFonts w:ascii="Arial Narrow" w:hAnsi="Arial Narrow"/>
        </w:rPr>
      </w:pPr>
    </w:p>
    <w:p w14:paraId="280912C3" w14:textId="66DA69CA" w:rsidR="00FC0386" w:rsidRDefault="00FC0386" w:rsidP="005115BA">
      <w:pPr>
        <w:jc w:val="both"/>
        <w:rPr>
          <w:rFonts w:ascii="Arial Narrow" w:hAnsi="Arial Narrow"/>
          <w:b/>
          <w:bCs/>
          <w:color w:val="156082" w:themeColor="accent1"/>
        </w:rPr>
      </w:pPr>
      <w:r w:rsidRPr="005115BA">
        <w:rPr>
          <w:rFonts w:ascii="Arial Narrow" w:hAnsi="Arial Narrow"/>
          <w:b/>
          <w:bCs/>
          <w:color w:val="156082" w:themeColor="accent1"/>
        </w:rPr>
        <w:t>Intervención vial en territorios estratégicos</w:t>
      </w:r>
    </w:p>
    <w:p w14:paraId="4AA42C51" w14:textId="77777777" w:rsidR="005115BA" w:rsidRPr="005115BA" w:rsidRDefault="005115BA" w:rsidP="005115BA">
      <w:pPr>
        <w:jc w:val="both"/>
        <w:rPr>
          <w:rFonts w:ascii="Arial Narrow" w:hAnsi="Arial Narrow"/>
          <w:b/>
          <w:bCs/>
          <w:color w:val="156082" w:themeColor="accent1"/>
        </w:rPr>
      </w:pPr>
    </w:p>
    <w:p w14:paraId="7ED6B04C" w14:textId="77777777" w:rsidR="00FC0386" w:rsidRPr="006E640E" w:rsidRDefault="00FC0386">
      <w:pPr>
        <w:jc w:val="both"/>
        <w:rPr>
          <w:rFonts w:ascii="Arial Narrow" w:hAnsi="Arial Narrow"/>
        </w:rPr>
      </w:pPr>
      <w:r w:rsidRPr="006E640E">
        <w:rPr>
          <w:rFonts w:ascii="Arial Narrow" w:hAnsi="Arial Narrow"/>
        </w:rPr>
        <w:t>En el marco de la política de seguridad humana y desarrollo territorial del Gobierno de Gustavo Petro, y en articulación con las metas del Ministerio de Defensa Nacional, se logró la ejecución de:</w:t>
      </w:r>
    </w:p>
    <w:p w14:paraId="5C1D91A2" w14:textId="77777777" w:rsidR="00FC0386" w:rsidRPr="006E640E" w:rsidRDefault="00FC0386">
      <w:pPr>
        <w:jc w:val="both"/>
        <w:rPr>
          <w:rFonts w:ascii="Arial Narrow" w:hAnsi="Arial Narrow"/>
        </w:rPr>
      </w:pPr>
    </w:p>
    <w:p w14:paraId="4FEFD940" w14:textId="77777777" w:rsidR="00FC0386" w:rsidRDefault="00FC0386">
      <w:pPr>
        <w:jc w:val="both"/>
        <w:rPr>
          <w:rFonts w:ascii="Arial Narrow" w:hAnsi="Arial Narrow"/>
          <w:i/>
          <w:iCs/>
          <w:color w:val="156082" w:themeColor="accent1"/>
        </w:rPr>
      </w:pPr>
      <w:r w:rsidRPr="006E640E">
        <w:rPr>
          <w:rFonts w:ascii="Arial Narrow" w:hAnsi="Arial Narrow"/>
          <w:i/>
          <w:iCs/>
          <w:color w:val="156082" w:themeColor="accent1"/>
        </w:rPr>
        <w:t xml:space="preserve">169,82 kilómetros de vías en asfalto y/o concreto en territorios priorizados del país, incluyendo zonas PDET, corredores estratégicos de seguridad y regiones rurales con baja conectividad. </w:t>
      </w:r>
    </w:p>
    <w:p w14:paraId="5FC13867" w14:textId="77777777" w:rsidR="005115BA" w:rsidRPr="006E640E" w:rsidRDefault="005115BA">
      <w:pPr>
        <w:jc w:val="both"/>
        <w:rPr>
          <w:rFonts w:ascii="Arial Narrow" w:hAnsi="Arial Narrow"/>
          <w:i/>
          <w:iCs/>
          <w:color w:val="156082" w:themeColor="accent1"/>
        </w:rPr>
      </w:pPr>
    </w:p>
    <w:p w14:paraId="37BE2112" w14:textId="1254CA11" w:rsidR="00FC0386" w:rsidRPr="006E640E" w:rsidRDefault="00FC0386">
      <w:pPr>
        <w:jc w:val="both"/>
        <w:rPr>
          <w:rFonts w:ascii="Arial Narrow" w:hAnsi="Arial Narrow"/>
        </w:rPr>
      </w:pPr>
      <w:r w:rsidRPr="006E640E">
        <w:rPr>
          <w:rFonts w:ascii="Arial Narrow" w:hAnsi="Arial Narrow"/>
        </w:rPr>
        <w:t>Esta intervención fortaleció el control territorial y la capacidad operativa de la Fuerza Pública, al tiempo que facilitó la presencia integral del Estado, mejoró el acceso a servicios esenciales y dinamizó las economías locales, contribuyendo a la estabilización, reducción de brechas sociales y consolidación de la seguridad en áreas históricamente afectadas por el conflicto. Algunos de estos territorios intervenidos son los departamentos de La Guajira, Pasto y Huila</w:t>
      </w:r>
      <w:r w:rsidR="00AA1B57" w:rsidRPr="006E640E">
        <w:rPr>
          <w:rFonts w:ascii="Arial Narrow" w:hAnsi="Arial Narrow"/>
        </w:rPr>
        <w:t>.</w:t>
      </w:r>
    </w:p>
    <w:p w14:paraId="417F5EAE" w14:textId="77777777" w:rsidR="00AA1B57" w:rsidRPr="006E640E" w:rsidRDefault="00AA1B57">
      <w:pPr>
        <w:jc w:val="both"/>
        <w:rPr>
          <w:rFonts w:ascii="Arial Narrow" w:hAnsi="Arial Narrow"/>
        </w:rPr>
      </w:pPr>
    </w:p>
    <w:p w14:paraId="0BBCA611" w14:textId="77777777" w:rsidR="00AA1B57" w:rsidRPr="006E640E" w:rsidRDefault="00AA1B57" w:rsidP="00AA1B57">
      <w:pPr>
        <w:jc w:val="both"/>
        <w:rPr>
          <w:rFonts w:ascii="Arial Narrow" w:hAnsi="Arial Narrow"/>
        </w:rPr>
      </w:pPr>
      <w:r w:rsidRPr="006E640E">
        <w:rPr>
          <w:rFonts w:ascii="Arial Narrow" w:hAnsi="Arial Narrow"/>
        </w:rPr>
        <w:t>Este resultado evidencia no solo una alta capacidad operativa del Sector Defensa en la implementación de acciones de carácter social y territorial, sino también un avance significativo en la integración de capacidades institucionales bajo el enfoque de Acción Unificada, permitiendo impactar de manera directa a poblaciones vulnerables, fortalecer la presencia del Estado y generar condiciones habilitantes para la seguridad, el desarrollo y la gobernabilidad en los territorios priorizados.</w:t>
      </w:r>
    </w:p>
    <w:p w14:paraId="5A57FC33" w14:textId="77777777" w:rsidR="00AA1B57" w:rsidRPr="006E640E" w:rsidRDefault="00AA1B57" w:rsidP="00AA1B57">
      <w:pPr>
        <w:jc w:val="both"/>
        <w:rPr>
          <w:rFonts w:ascii="Arial Narrow" w:hAnsi="Arial Narrow"/>
        </w:rPr>
      </w:pPr>
    </w:p>
    <w:p w14:paraId="5F3B919F" w14:textId="77777777" w:rsidR="00AA1B57" w:rsidRPr="006E640E" w:rsidRDefault="00AA1B57" w:rsidP="00AA1B57">
      <w:pPr>
        <w:jc w:val="both"/>
        <w:rPr>
          <w:rFonts w:ascii="Arial Narrow" w:hAnsi="Arial Narrow"/>
        </w:rPr>
      </w:pPr>
      <w:r w:rsidRPr="006E640E">
        <w:rPr>
          <w:rFonts w:ascii="Arial Narrow" w:hAnsi="Arial Narrow"/>
        </w:rPr>
        <w:t>De manera complementaria, estas intervenciones reflejan la consolidación de esquemas de articulación interinstitucional y cooperación, así como la incorporación de enfoques diferenciales y territoriales, contribuyendo a la construcción de valor público y al fortalecimiento de la Seguridad Humana, en coherencia con los objetivos estratégicos del Sector Defensa.</w:t>
      </w:r>
    </w:p>
    <w:p w14:paraId="590C5145" w14:textId="77777777" w:rsidR="00AA1B57" w:rsidRPr="006E640E" w:rsidRDefault="00AA1B57">
      <w:pPr>
        <w:jc w:val="both"/>
        <w:rPr>
          <w:rFonts w:ascii="Arial Narrow" w:hAnsi="Arial Narrow"/>
        </w:rPr>
      </w:pPr>
    </w:p>
    <w:sectPr w:rsidR="00AA1B57" w:rsidRPr="006E640E">
      <w:headerReference w:type="even" r:id="rId7"/>
      <w:headerReference w:type="default" r:id="rId8"/>
      <w:footerReference w:type="even" r:id="rId9"/>
      <w:footerReference w:type="default" r:id="rId10"/>
      <w:headerReference w:type="first" r:id="rId11"/>
      <w:footerReference w:type="firs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64E0E" w14:textId="77777777" w:rsidR="0007397D" w:rsidRDefault="0007397D" w:rsidP="004B5B47">
      <w:r>
        <w:separator/>
      </w:r>
    </w:p>
  </w:endnote>
  <w:endnote w:type="continuationSeparator" w:id="0">
    <w:p w14:paraId="4DAE10CC" w14:textId="77777777" w:rsidR="0007397D" w:rsidRDefault="0007397D" w:rsidP="004B5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4A795" w14:textId="77777777" w:rsidR="009222CF" w:rsidRDefault="009222C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EACBB" w14:textId="77777777" w:rsidR="009222CF" w:rsidRDefault="009222CF">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7D1DC" w14:textId="77777777" w:rsidR="009222CF" w:rsidRDefault="009222C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6B3CA" w14:textId="77777777" w:rsidR="0007397D" w:rsidRDefault="0007397D" w:rsidP="004B5B47">
      <w:r>
        <w:separator/>
      </w:r>
    </w:p>
  </w:footnote>
  <w:footnote w:type="continuationSeparator" w:id="0">
    <w:p w14:paraId="18510D5B" w14:textId="77777777" w:rsidR="0007397D" w:rsidRDefault="0007397D" w:rsidP="004B5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C8B10" w14:textId="77777777" w:rsidR="009222CF" w:rsidRDefault="009222C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90EBE" w14:textId="0B5E61F0" w:rsidR="004B5B47" w:rsidRDefault="004B5B47" w:rsidP="004B5B47">
    <w:pPr>
      <w:pStyle w:val="Encabezado"/>
      <w:jc w:val="center"/>
    </w:pPr>
    <w:r>
      <w:rPr>
        <w:noProof/>
      </w:rPr>
      <w:drawing>
        <wp:inline distT="114300" distB="114300" distL="114300" distR="114300" wp14:anchorId="3EDFE531" wp14:editId="2E685AB3">
          <wp:extent cx="1156854" cy="741218"/>
          <wp:effectExtent l="0" t="0" r="0" b="0"/>
          <wp:docPr id="6170910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166230" cy="747226"/>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6A12E" w14:textId="77777777" w:rsidR="009222CF" w:rsidRDefault="009222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16716"/>
    <w:multiLevelType w:val="hybridMultilevel"/>
    <w:tmpl w:val="02AAB564"/>
    <w:lvl w:ilvl="0" w:tplc="040A000F">
      <w:start w:val="1"/>
      <w:numFmt w:val="decimal"/>
      <w:lvlText w:val="%1."/>
      <w:lvlJc w:val="left"/>
      <w:pPr>
        <w:ind w:left="1080" w:hanging="360"/>
      </w:p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1" w15:restartNumberingAfterBreak="0">
    <w:nsid w:val="0A436600"/>
    <w:multiLevelType w:val="multilevel"/>
    <w:tmpl w:val="B4269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577644"/>
    <w:multiLevelType w:val="multilevel"/>
    <w:tmpl w:val="D6228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2111E2"/>
    <w:multiLevelType w:val="multilevel"/>
    <w:tmpl w:val="578C2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FF08D1"/>
    <w:multiLevelType w:val="hybridMultilevel"/>
    <w:tmpl w:val="5B6242DC"/>
    <w:lvl w:ilvl="0" w:tplc="6C601134">
      <w:start w:val="1"/>
      <w:numFmt w:val="lowerRoman"/>
      <w:lvlText w:val="(%1)"/>
      <w:lvlJc w:val="left"/>
      <w:pPr>
        <w:ind w:left="1080" w:hanging="720"/>
      </w:pPr>
      <w:rPr>
        <w:rFonts w:asciiTheme="minorHAnsi" w:hAnsiTheme="minorHAnsi" w:hint="default"/>
        <w:b/>
        <w:sz w:val="24"/>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3C751160"/>
    <w:multiLevelType w:val="hybridMultilevel"/>
    <w:tmpl w:val="DE38B13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3F37850"/>
    <w:multiLevelType w:val="hybridMultilevel"/>
    <w:tmpl w:val="C34E09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4C8E180A"/>
    <w:multiLevelType w:val="multilevel"/>
    <w:tmpl w:val="ECC28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D66B8F"/>
    <w:multiLevelType w:val="hybridMultilevel"/>
    <w:tmpl w:val="FF144E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AF23C49"/>
    <w:multiLevelType w:val="multilevel"/>
    <w:tmpl w:val="E5A6C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82051CC"/>
    <w:multiLevelType w:val="hybridMultilevel"/>
    <w:tmpl w:val="A6B4EFDA"/>
    <w:lvl w:ilvl="0" w:tplc="6C601134">
      <w:start w:val="1"/>
      <w:numFmt w:val="lowerRoman"/>
      <w:lvlText w:val="(%1)"/>
      <w:lvlJc w:val="left"/>
      <w:pPr>
        <w:ind w:left="1440" w:hanging="720"/>
      </w:pPr>
      <w:rPr>
        <w:rFonts w:asciiTheme="minorHAnsi" w:hAnsiTheme="minorHAnsi" w:hint="default"/>
        <w:b/>
        <w:sz w:val="24"/>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11" w15:restartNumberingAfterBreak="0">
    <w:nsid w:val="700543D6"/>
    <w:multiLevelType w:val="hybridMultilevel"/>
    <w:tmpl w:val="E2F451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77525549"/>
    <w:multiLevelType w:val="multilevel"/>
    <w:tmpl w:val="39223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52470773">
    <w:abstractNumId w:val="4"/>
  </w:num>
  <w:num w:numId="2" w16cid:durableId="1594048301">
    <w:abstractNumId w:val="10"/>
  </w:num>
  <w:num w:numId="3" w16cid:durableId="509754551">
    <w:abstractNumId w:val="0"/>
  </w:num>
  <w:num w:numId="4" w16cid:durableId="175391555">
    <w:abstractNumId w:val="12"/>
  </w:num>
  <w:num w:numId="5" w16cid:durableId="370690226">
    <w:abstractNumId w:val="2"/>
  </w:num>
  <w:num w:numId="6" w16cid:durableId="1445689797">
    <w:abstractNumId w:val="3"/>
  </w:num>
  <w:num w:numId="7" w16cid:durableId="579556736">
    <w:abstractNumId w:val="9"/>
  </w:num>
  <w:num w:numId="8" w16cid:durableId="215091947">
    <w:abstractNumId w:val="7"/>
  </w:num>
  <w:num w:numId="9" w16cid:durableId="79066856">
    <w:abstractNumId w:val="11"/>
  </w:num>
  <w:num w:numId="10" w16cid:durableId="752969049">
    <w:abstractNumId w:val="6"/>
  </w:num>
  <w:num w:numId="11" w16cid:durableId="1182546197">
    <w:abstractNumId w:val="5"/>
  </w:num>
  <w:num w:numId="12" w16cid:durableId="504169913">
    <w:abstractNumId w:val="8"/>
  </w:num>
  <w:num w:numId="13" w16cid:durableId="15289100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BA1"/>
    <w:rsid w:val="0007397D"/>
    <w:rsid w:val="001715BD"/>
    <w:rsid w:val="001C6221"/>
    <w:rsid w:val="002D5F6E"/>
    <w:rsid w:val="0031189B"/>
    <w:rsid w:val="003355FB"/>
    <w:rsid w:val="004700A9"/>
    <w:rsid w:val="004B4BA1"/>
    <w:rsid w:val="004B5B47"/>
    <w:rsid w:val="005115BA"/>
    <w:rsid w:val="005F23ED"/>
    <w:rsid w:val="006B6CC7"/>
    <w:rsid w:val="006E1FD6"/>
    <w:rsid w:val="006E640E"/>
    <w:rsid w:val="00717E7F"/>
    <w:rsid w:val="007372F2"/>
    <w:rsid w:val="007908ED"/>
    <w:rsid w:val="007D7378"/>
    <w:rsid w:val="009222CF"/>
    <w:rsid w:val="009D7850"/>
    <w:rsid w:val="00A149D7"/>
    <w:rsid w:val="00A32C8C"/>
    <w:rsid w:val="00A51AA3"/>
    <w:rsid w:val="00A8204E"/>
    <w:rsid w:val="00AA1B57"/>
    <w:rsid w:val="00B05080"/>
    <w:rsid w:val="00B05744"/>
    <w:rsid w:val="00BE04AB"/>
    <w:rsid w:val="00C53BF8"/>
    <w:rsid w:val="00D50FA1"/>
    <w:rsid w:val="00DC32C6"/>
    <w:rsid w:val="00EF23F3"/>
    <w:rsid w:val="00F63B99"/>
    <w:rsid w:val="00FC038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541A6"/>
  <w15:chartTrackingRefBased/>
  <w15:docId w15:val="{E29040A2-6782-9641-ADB7-9769F3AA2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5BA"/>
  </w:style>
  <w:style w:type="paragraph" w:styleId="Ttulo1">
    <w:name w:val="heading 1"/>
    <w:basedOn w:val="Normal"/>
    <w:next w:val="Normal"/>
    <w:link w:val="Ttulo1Car"/>
    <w:uiPriority w:val="9"/>
    <w:qFormat/>
    <w:rsid w:val="004B4B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4B4B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B4BA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B4BA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B4BA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B4BA1"/>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B4BA1"/>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B4BA1"/>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B4BA1"/>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B4BA1"/>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4B4BA1"/>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B4BA1"/>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B4BA1"/>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B4BA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B4BA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B4BA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B4BA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B4BA1"/>
    <w:rPr>
      <w:rFonts w:eastAsiaTheme="majorEastAsia" w:cstheme="majorBidi"/>
      <w:color w:val="272727" w:themeColor="text1" w:themeTint="D8"/>
    </w:rPr>
  </w:style>
  <w:style w:type="paragraph" w:styleId="Ttulo">
    <w:name w:val="Title"/>
    <w:basedOn w:val="Normal"/>
    <w:next w:val="Normal"/>
    <w:link w:val="TtuloCar"/>
    <w:uiPriority w:val="10"/>
    <w:qFormat/>
    <w:rsid w:val="004B4BA1"/>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B4BA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B4BA1"/>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B4BA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B4BA1"/>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4B4BA1"/>
    <w:rPr>
      <w:i/>
      <w:iCs/>
      <w:color w:val="404040" w:themeColor="text1" w:themeTint="BF"/>
    </w:rPr>
  </w:style>
  <w:style w:type="paragraph" w:styleId="Prrafodelista">
    <w:name w:val="List Paragraph"/>
    <w:basedOn w:val="Normal"/>
    <w:uiPriority w:val="34"/>
    <w:qFormat/>
    <w:rsid w:val="004B4BA1"/>
    <w:pPr>
      <w:ind w:left="720"/>
      <w:contextualSpacing/>
    </w:pPr>
  </w:style>
  <w:style w:type="character" w:styleId="nfasisintenso">
    <w:name w:val="Intense Emphasis"/>
    <w:basedOn w:val="Fuentedeprrafopredeter"/>
    <w:uiPriority w:val="21"/>
    <w:qFormat/>
    <w:rsid w:val="004B4BA1"/>
    <w:rPr>
      <w:i/>
      <w:iCs/>
      <w:color w:val="0F4761" w:themeColor="accent1" w:themeShade="BF"/>
    </w:rPr>
  </w:style>
  <w:style w:type="paragraph" w:styleId="Citadestacada">
    <w:name w:val="Intense Quote"/>
    <w:basedOn w:val="Normal"/>
    <w:next w:val="Normal"/>
    <w:link w:val="CitadestacadaCar"/>
    <w:uiPriority w:val="30"/>
    <w:qFormat/>
    <w:rsid w:val="004B4B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B4BA1"/>
    <w:rPr>
      <w:i/>
      <w:iCs/>
      <w:color w:val="0F4761" w:themeColor="accent1" w:themeShade="BF"/>
    </w:rPr>
  </w:style>
  <w:style w:type="character" w:styleId="Referenciaintensa">
    <w:name w:val="Intense Reference"/>
    <w:basedOn w:val="Fuentedeprrafopredeter"/>
    <w:uiPriority w:val="32"/>
    <w:qFormat/>
    <w:rsid w:val="004B4BA1"/>
    <w:rPr>
      <w:b/>
      <w:bCs/>
      <w:smallCaps/>
      <w:color w:val="0F4761" w:themeColor="accent1" w:themeShade="BF"/>
      <w:spacing w:val="5"/>
    </w:rPr>
  </w:style>
  <w:style w:type="character" w:customStyle="1" w:styleId="apple-converted-space">
    <w:name w:val="apple-converted-space"/>
    <w:basedOn w:val="Fuentedeprrafopredeter"/>
    <w:rsid w:val="004B4BA1"/>
  </w:style>
  <w:style w:type="character" w:styleId="Fuerte">
    <w:name w:val="Strong"/>
    <w:basedOn w:val="Fuentedeprrafopredeter"/>
    <w:uiPriority w:val="22"/>
    <w:qFormat/>
    <w:rsid w:val="004B4BA1"/>
    <w:rPr>
      <w:b/>
      <w:bCs/>
    </w:rPr>
  </w:style>
  <w:style w:type="paragraph" w:styleId="NormalWeb">
    <w:name w:val="Normal (Web)"/>
    <w:basedOn w:val="Normal"/>
    <w:uiPriority w:val="99"/>
    <w:unhideWhenUsed/>
    <w:rsid w:val="006B6CC7"/>
    <w:pPr>
      <w:spacing w:before="100" w:beforeAutospacing="1" w:after="100" w:afterAutospacing="1"/>
    </w:pPr>
    <w:rPr>
      <w:rFonts w:ascii="Times New Roman" w:eastAsia="Times New Roman" w:hAnsi="Times New Roman" w:cs="Times New Roman"/>
      <w:lang w:eastAsia="es-ES_tradnl"/>
    </w:rPr>
  </w:style>
  <w:style w:type="paragraph" w:styleId="Encabezado">
    <w:name w:val="header"/>
    <w:basedOn w:val="Normal"/>
    <w:link w:val="EncabezadoCar"/>
    <w:uiPriority w:val="99"/>
    <w:unhideWhenUsed/>
    <w:rsid w:val="004B5B47"/>
    <w:pPr>
      <w:tabs>
        <w:tab w:val="center" w:pos="4419"/>
        <w:tab w:val="right" w:pos="8838"/>
      </w:tabs>
    </w:pPr>
  </w:style>
  <w:style w:type="character" w:customStyle="1" w:styleId="EncabezadoCar">
    <w:name w:val="Encabezado Car"/>
    <w:basedOn w:val="Fuentedeprrafopredeter"/>
    <w:link w:val="Encabezado"/>
    <w:uiPriority w:val="99"/>
    <w:rsid w:val="004B5B47"/>
  </w:style>
  <w:style w:type="paragraph" w:styleId="Piedepgina">
    <w:name w:val="footer"/>
    <w:basedOn w:val="Normal"/>
    <w:link w:val="PiedepginaCar"/>
    <w:uiPriority w:val="99"/>
    <w:unhideWhenUsed/>
    <w:rsid w:val="004B5B47"/>
    <w:pPr>
      <w:tabs>
        <w:tab w:val="center" w:pos="4419"/>
        <w:tab w:val="right" w:pos="8838"/>
      </w:tabs>
    </w:pPr>
  </w:style>
  <w:style w:type="character" w:customStyle="1" w:styleId="PiedepginaCar">
    <w:name w:val="Pie de página Car"/>
    <w:basedOn w:val="Fuentedeprrafopredeter"/>
    <w:link w:val="Piedepgina"/>
    <w:uiPriority w:val="99"/>
    <w:rsid w:val="004B5B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761</Words>
  <Characters>4190</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infraestructura.chapinero</dc:creator>
  <cp:keywords/>
  <dc:description/>
  <cp:lastModifiedBy>JUAN CARLOS AGREDA BOTINA</cp:lastModifiedBy>
  <cp:revision>4</cp:revision>
  <dcterms:created xsi:type="dcterms:W3CDTF">2026-06-23T04:05:00Z</dcterms:created>
  <dcterms:modified xsi:type="dcterms:W3CDTF">2026-06-23T04:43:00Z</dcterms:modified>
</cp:coreProperties>
</file>